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291E0E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Management Board</w:t>
      </w:r>
    </w:p>
    <w:p w:rsidR="00905147" w:rsidRDefault="00905147" w:rsidP="00905147">
      <w:r>
        <w:t xml:space="preserve">8 December 2015 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9C167F">
        <w:rPr>
          <w:b/>
        </w:rPr>
        <w:t>No</w:t>
      </w:r>
    </w:p>
    <w:p w:rsidR="00A3358A" w:rsidRDefault="00A3358A" w:rsidP="00A3358A"/>
    <w:p w:rsidR="00805BB4" w:rsidRDefault="00805BB4" w:rsidP="00A3358A"/>
    <w:p w:rsidR="00A3358A" w:rsidRDefault="00805BB4" w:rsidP="00A3358A">
      <w:pPr>
        <w:rPr>
          <w:rFonts w:eastAsia="Times New Roman" w:cs="Times New Roman"/>
          <w:b/>
          <w:color w:val="auto"/>
          <w:szCs w:val="20"/>
        </w:rPr>
      </w:pPr>
      <w:r w:rsidRPr="00805BB4">
        <w:rPr>
          <w:b/>
        </w:rPr>
        <w:t>Social Value</w:t>
      </w:r>
      <w:r w:rsidRPr="00805BB4">
        <w:rPr>
          <w:rFonts w:eastAsia="Times New Roman" w:cs="Times New Roman"/>
          <w:b/>
          <w:color w:val="auto"/>
          <w:szCs w:val="20"/>
        </w:rPr>
        <w:t xml:space="preserve"> </w:t>
      </w:r>
    </w:p>
    <w:p w:rsidR="00C4119A" w:rsidRDefault="00C4119A" w:rsidP="00F41096">
      <w:pPr>
        <w:ind w:right="-873"/>
      </w:pPr>
    </w:p>
    <w:p w:rsidR="009C167F" w:rsidRDefault="00F41096" w:rsidP="00F41096">
      <w:pPr>
        <w:ind w:right="-873"/>
      </w:pPr>
      <w:bookmarkStart w:id="0" w:name="_GoBack"/>
      <w:bookmarkEnd w:id="0"/>
      <w:r w:rsidRPr="00905147">
        <w:t xml:space="preserve">Report Author: </w:t>
      </w:r>
      <w:r w:rsidR="009C167F" w:rsidRPr="00905147">
        <w:t>Alison Moore</w:t>
      </w:r>
      <w:r w:rsidRPr="00905147">
        <w:t xml:space="preserve">, </w:t>
      </w:r>
      <w:r w:rsidR="009C167F" w:rsidRPr="00905147">
        <w:t>Growth Deal Programme Manager</w:t>
      </w:r>
    </w:p>
    <w:p w:rsidR="009C167F" w:rsidRPr="00905147" w:rsidRDefault="00C4119A" w:rsidP="00F41096">
      <w:pPr>
        <w:ind w:right="-873"/>
      </w:pPr>
      <w:hyperlink r:id="rId8" w:history="1">
        <w:r w:rsidR="009C167F" w:rsidRPr="00905147">
          <w:rPr>
            <w:rStyle w:val="Hyperlink"/>
          </w:rPr>
          <w:t>growthdeal@lancashire.gov.uk</w:t>
        </w:r>
      </w:hyperlink>
    </w:p>
    <w:p w:rsidR="00CF1133" w:rsidRDefault="009C167F" w:rsidP="00CF1133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A3358A" w:rsidRP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b/>
          <w:color w:val="auto"/>
          <w:szCs w:val="20"/>
        </w:rPr>
      </w:pPr>
      <w:r w:rsidRPr="00A3358A">
        <w:rPr>
          <w:rFonts w:ascii="Arial" w:hAnsi="Arial"/>
          <w:b/>
          <w:color w:val="auto"/>
        </w:rPr>
        <w:t>Executive Summary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3358A" w:rsidRDefault="009C167F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The purpose of this report is to provide a summary of the activity of the Social Value Working Group, and the progress made to date with the development of a Social Value Toolkit.</w:t>
      </w:r>
      <w:r>
        <w:tab/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3358A" w:rsidRPr="00A3358A" w:rsidRDefault="00A3358A" w:rsidP="00A3358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A3358A">
        <w:rPr>
          <w:rFonts w:ascii="Arial" w:hAnsi="Arial"/>
          <w:b/>
          <w:color w:val="auto"/>
        </w:rPr>
        <w:t>Recommendation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67F" w:rsidRDefault="009C167F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The Board are invited to receive, consider and comment on the update and the content and format of the draft social value toolkit.</w:t>
      </w:r>
    </w:p>
    <w:p w:rsidR="00A3358A" w:rsidRDefault="00A3358A" w:rsidP="009C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A3358A" w:rsidRDefault="00A3358A" w:rsidP="00CF1133">
      <w:pPr>
        <w:spacing w:after="0" w:line="256" w:lineRule="auto"/>
        <w:ind w:left="0" w:firstLine="0"/>
      </w:pPr>
    </w:p>
    <w:p w:rsidR="00A3358A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2243BC" w:rsidRDefault="002243BC" w:rsidP="002243BC">
      <w:pPr>
        <w:spacing w:after="0" w:line="256" w:lineRule="auto"/>
        <w:ind w:left="0" w:firstLine="0"/>
      </w:pPr>
      <w:r w:rsidRPr="00B67FEE">
        <w:t xml:space="preserve">The Growth Deal Management Board are committed to maximising the Social Value benefits of </w:t>
      </w:r>
      <w:r>
        <w:t xml:space="preserve">the individual </w:t>
      </w:r>
      <w:r w:rsidRPr="00B67FEE">
        <w:t xml:space="preserve">projects that form part of the Growth Deal Programme, and the </w:t>
      </w:r>
      <w:r>
        <w:t xml:space="preserve">Social Value </w:t>
      </w:r>
      <w:r w:rsidRPr="00B67FEE">
        <w:t xml:space="preserve">benefits </w:t>
      </w:r>
      <w:r>
        <w:t>across the Growth Deal Programme.</w:t>
      </w:r>
    </w:p>
    <w:p w:rsidR="002243BC" w:rsidRDefault="002243BC" w:rsidP="002243BC">
      <w:pPr>
        <w:spacing w:after="0" w:line="256" w:lineRule="auto"/>
        <w:ind w:left="0" w:firstLine="0"/>
      </w:pPr>
    </w:p>
    <w:p w:rsidR="002243BC" w:rsidRDefault="002243BC" w:rsidP="002243BC">
      <w:pPr>
        <w:spacing w:after="0" w:line="256" w:lineRule="auto"/>
        <w:ind w:left="0" w:firstLine="0"/>
      </w:pPr>
      <w:r>
        <w:t>In order to progress towards realising this aspiration the Growth Deal Management Board, on 21 October 2015, agreed to produce a “Toolkit for Wider Economic and Social Benefits for Growth Deal Projects in Lancashire.   In order to do this the Board decided to establish a small working group to include:  Graham Cowley, Dr Michele Lawty-Jones, Richard Hothersall, Alison Moore and Martine Winder.</w:t>
      </w:r>
    </w:p>
    <w:p w:rsidR="002243BC" w:rsidRDefault="002243BC" w:rsidP="002243BC"/>
    <w:p w:rsidR="002243BC" w:rsidRDefault="002243BC" w:rsidP="002243BC">
      <w:pPr>
        <w:spacing w:after="0" w:line="256" w:lineRule="auto"/>
        <w:ind w:left="0" w:firstLine="0"/>
      </w:pPr>
      <w:r>
        <w:t>Additionally, it was agreed that the Monitoring and Evaluation Sub-Group should be tasked with undertaking a series of activities.</w:t>
      </w:r>
    </w:p>
    <w:p w:rsidR="002243BC" w:rsidRPr="00B67FEE" w:rsidRDefault="002243BC" w:rsidP="002243BC">
      <w:pPr>
        <w:spacing w:after="0" w:line="256" w:lineRule="auto"/>
        <w:ind w:left="0" w:firstLine="0"/>
      </w:pPr>
    </w:p>
    <w:p w:rsidR="00DD098F" w:rsidRDefault="002243BC" w:rsidP="00DD098F">
      <w:pPr>
        <w:ind w:left="0" w:firstLine="0"/>
        <w:rPr>
          <w:b/>
        </w:rPr>
      </w:pPr>
      <w:proofErr w:type="spellStart"/>
      <w:r w:rsidRPr="0028579C">
        <w:rPr>
          <w:b/>
        </w:rPr>
        <w:t>M</w:t>
      </w:r>
      <w:r>
        <w:rPr>
          <w:b/>
        </w:rPr>
        <w:t>onitioring</w:t>
      </w:r>
      <w:proofErr w:type="spellEnd"/>
      <w:r>
        <w:rPr>
          <w:b/>
        </w:rPr>
        <w:t xml:space="preserve"> </w:t>
      </w:r>
      <w:r w:rsidRPr="0028579C">
        <w:rPr>
          <w:b/>
        </w:rPr>
        <w:t>&amp;</w:t>
      </w:r>
      <w:r>
        <w:rPr>
          <w:b/>
        </w:rPr>
        <w:t xml:space="preserve"> </w:t>
      </w:r>
      <w:r w:rsidRPr="0028579C">
        <w:rPr>
          <w:b/>
        </w:rPr>
        <w:t>E</w:t>
      </w:r>
      <w:r>
        <w:rPr>
          <w:b/>
        </w:rPr>
        <w:t>valuation</w:t>
      </w:r>
      <w:r w:rsidRPr="0028579C">
        <w:rPr>
          <w:b/>
        </w:rPr>
        <w:t xml:space="preserve"> Sub Group</w:t>
      </w:r>
      <w:r w:rsidR="00C436E6">
        <w:rPr>
          <w:b/>
        </w:rPr>
        <w:t xml:space="preserve"> Progress</w:t>
      </w:r>
    </w:p>
    <w:p w:rsidR="00DD098F" w:rsidRDefault="00DD098F" w:rsidP="00DD098F">
      <w:pPr>
        <w:ind w:left="0" w:firstLine="0"/>
        <w:rPr>
          <w:b/>
        </w:rPr>
      </w:pPr>
    </w:p>
    <w:p w:rsidR="002243BC" w:rsidRPr="003265CF" w:rsidRDefault="002243BC" w:rsidP="00DD098F">
      <w:pPr>
        <w:ind w:left="0" w:firstLine="0"/>
      </w:pPr>
      <w:r w:rsidRPr="003265CF">
        <w:t xml:space="preserve">The Monitoring and Evaluation Sub-Committee </w:t>
      </w:r>
      <w:r>
        <w:t>has been tasked with producing a</w:t>
      </w:r>
      <w:r w:rsidR="00DD098F">
        <w:t xml:space="preserve"> </w:t>
      </w:r>
      <w:r>
        <w:t xml:space="preserve">Growth </w:t>
      </w:r>
      <w:r w:rsidRPr="003265CF">
        <w:t xml:space="preserve">Deal Benefits Schedule and </w:t>
      </w:r>
      <w:r>
        <w:t xml:space="preserve">with managing </w:t>
      </w:r>
      <w:r w:rsidRPr="003265CF">
        <w:t>the monitoring and evaluation</w:t>
      </w:r>
      <w:r w:rsidR="00DD098F">
        <w:t xml:space="preserve"> </w:t>
      </w:r>
      <w:r w:rsidRPr="003265CF">
        <w:t xml:space="preserve">process. </w:t>
      </w:r>
    </w:p>
    <w:p w:rsidR="002243BC" w:rsidRPr="003265CF" w:rsidRDefault="002243BC" w:rsidP="002243BC"/>
    <w:p w:rsidR="002243BC" w:rsidRPr="003265CF" w:rsidRDefault="002243BC" w:rsidP="002243BC">
      <w:r w:rsidRPr="003265CF">
        <w:t>This, specifically, requires the Monitoring and Evaluation Sub-Group to:</w:t>
      </w:r>
    </w:p>
    <w:p w:rsidR="002243BC" w:rsidRPr="003265CF" w:rsidRDefault="002243BC" w:rsidP="002243BC">
      <w:pPr>
        <w:rPr>
          <w:u w:val="single"/>
        </w:rPr>
      </w:pPr>
    </w:p>
    <w:p w:rsidR="002243BC" w:rsidRDefault="002243BC" w:rsidP="00905147">
      <w:pPr>
        <w:pStyle w:val="ListParagraph"/>
        <w:numPr>
          <w:ilvl w:val="0"/>
          <w:numId w:val="5"/>
        </w:numPr>
        <w:ind w:left="360"/>
      </w:pPr>
      <w:r w:rsidRPr="003265CF">
        <w:t>Capture the stated business case benefits for all existing projects in a single Growth Deal Benefits Schedule (Monitoring and Evaluation Sub-Committee)</w:t>
      </w:r>
    </w:p>
    <w:p w:rsidR="002243BC" w:rsidRDefault="002243BC" w:rsidP="00905147">
      <w:pPr>
        <w:pStyle w:val="ListParagraph"/>
        <w:ind w:left="360" w:firstLine="0"/>
      </w:pPr>
    </w:p>
    <w:p w:rsidR="002243BC" w:rsidRDefault="002243BC" w:rsidP="00905147">
      <w:pPr>
        <w:pStyle w:val="ListParagraph"/>
        <w:numPr>
          <w:ilvl w:val="0"/>
          <w:numId w:val="5"/>
        </w:numPr>
        <w:ind w:left="360"/>
      </w:pPr>
      <w:r w:rsidRPr="003265CF">
        <w:t>Ensure the project sponsors are required to monitor all outcomes including the wider economic benefits (Monitoring and Evaluation Sub-Committee)</w:t>
      </w:r>
    </w:p>
    <w:p w:rsidR="002243BC" w:rsidRDefault="002243BC" w:rsidP="00905147">
      <w:pPr>
        <w:pStyle w:val="ListParagraph"/>
        <w:ind w:left="360"/>
      </w:pPr>
    </w:p>
    <w:p w:rsidR="002243BC" w:rsidRDefault="002243BC" w:rsidP="00905147">
      <w:pPr>
        <w:pStyle w:val="ListParagraph"/>
        <w:numPr>
          <w:ilvl w:val="0"/>
          <w:numId w:val="5"/>
        </w:numPr>
        <w:ind w:left="360"/>
      </w:pPr>
      <w:r w:rsidRPr="003265CF">
        <w:t>Ensure that the evaluation commission has a similarly broad specification (Monitoring and Evaluation Sub-Committee)</w:t>
      </w:r>
    </w:p>
    <w:p w:rsidR="002243BC" w:rsidRDefault="002243BC" w:rsidP="00905147">
      <w:pPr>
        <w:pStyle w:val="ListParagraph"/>
        <w:ind w:left="360"/>
      </w:pPr>
    </w:p>
    <w:p w:rsidR="002243BC" w:rsidRPr="003265CF" w:rsidRDefault="002243BC" w:rsidP="00905147">
      <w:pPr>
        <w:pStyle w:val="ListParagraph"/>
        <w:numPr>
          <w:ilvl w:val="0"/>
          <w:numId w:val="5"/>
        </w:numPr>
        <w:ind w:left="360"/>
      </w:pPr>
      <w:r w:rsidRPr="003265CF">
        <w:t xml:space="preserve">Require a short “benefits realisation plan” for all projects (with a suggestion of utilising the format adopted by </w:t>
      </w:r>
      <w:proofErr w:type="spellStart"/>
      <w:r w:rsidRPr="003265CF">
        <w:t>DfT</w:t>
      </w:r>
      <w:proofErr w:type="spellEnd"/>
      <w:r w:rsidRPr="003265CF">
        <w:t xml:space="preserve"> projects).</w:t>
      </w:r>
    </w:p>
    <w:p w:rsidR="00905147" w:rsidRDefault="00905147" w:rsidP="002243BC">
      <w:pPr>
        <w:spacing w:after="0" w:line="256" w:lineRule="auto"/>
        <w:ind w:left="0" w:firstLine="0"/>
      </w:pPr>
    </w:p>
    <w:p w:rsidR="00905147" w:rsidRDefault="00905147" w:rsidP="002243BC">
      <w:pPr>
        <w:spacing w:after="0" w:line="256" w:lineRule="auto"/>
        <w:ind w:left="0" w:firstLine="0"/>
      </w:pPr>
    </w:p>
    <w:p w:rsidR="002243BC" w:rsidRDefault="002243BC" w:rsidP="002243BC">
      <w:pPr>
        <w:spacing w:after="0" w:line="256" w:lineRule="auto"/>
        <w:ind w:left="0" w:firstLine="0"/>
        <w:rPr>
          <w:b/>
        </w:rPr>
      </w:pPr>
      <w:r w:rsidRPr="003265CF">
        <w:rPr>
          <w:b/>
        </w:rPr>
        <w:t>Progress to Date</w:t>
      </w:r>
      <w:r>
        <w:rPr>
          <w:b/>
        </w:rPr>
        <w:t>/Considerations</w:t>
      </w:r>
    </w:p>
    <w:p w:rsidR="002243BC" w:rsidRDefault="002243BC" w:rsidP="002243BC">
      <w:pPr>
        <w:spacing w:after="0" w:line="256" w:lineRule="auto"/>
        <w:ind w:left="0" w:firstLine="0"/>
        <w:rPr>
          <w:b/>
        </w:rPr>
      </w:pPr>
    </w:p>
    <w:p w:rsidR="002243BC" w:rsidRDefault="002243BC" w:rsidP="002243BC">
      <w:pPr>
        <w:spacing w:after="0" w:line="256" w:lineRule="auto"/>
        <w:ind w:left="0" w:firstLine="0"/>
      </w:pPr>
      <w:r w:rsidRPr="002243BC">
        <w:t>The Monitoring and</w:t>
      </w:r>
      <w:r>
        <w:t xml:space="preserve"> Evaluation Sub-Group has made the following progress in relation to the assigned tasks:</w:t>
      </w:r>
    </w:p>
    <w:p w:rsidR="002243BC" w:rsidRPr="002243BC" w:rsidRDefault="002243BC" w:rsidP="002243BC">
      <w:pPr>
        <w:spacing w:after="0" w:line="256" w:lineRule="auto"/>
        <w:ind w:left="0" w:firstLine="0"/>
      </w:pPr>
    </w:p>
    <w:p w:rsidR="00905147" w:rsidRPr="00905147" w:rsidRDefault="002243BC" w:rsidP="000B1141">
      <w:pPr>
        <w:pStyle w:val="ListParagraph"/>
        <w:numPr>
          <w:ilvl w:val="0"/>
          <w:numId w:val="7"/>
        </w:numPr>
        <w:spacing w:after="0" w:line="256" w:lineRule="auto"/>
      </w:pPr>
      <w:r w:rsidRPr="00905147">
        <w:rPr>
          <w:b/>
        </w:rPr>
        <w:t>Growth Deal Benefits Schedule</w:t>
      </w:r>
    </w:p>
    <w:p w:rsidR="00905147" w:rsidRDefault="00905147" w:rsidP="00905147">
      <w:pPr>
        <w:spacing w:after="0" w:line="256" w:lineRule="auto"/>
        <w:ind w:left="0" w:firstLine="0"/>
      </w:pPr>
    </w:p>
    <w:p w:rsidR="00905147" w:rsidRDefault="002243BC" w:rsidP="00905147">
      <w:pPr>
        <w:spacing w:after="0" w:line="256" w:lineRule="auto"/>
        <w:ind w:left="0" w:firstLine="0"/>
      </w:pPr>
      <w:r w:rsidRPr="0029059F">
        <w:t>The business case benefits for all projects that have</w:t>
      </w:r>
      <w:r>
        <w:t xml:space="preserve"> received LEP approval, and for </w:t>
      </w:r>
      <w:r w:rsidRPr="0029059F">
        <w:t>which a growth fund agreement is in place</w:t>
      </w:r>
      <w:r>
        <w:t>, have been collated.</w:t>
      </w:r>
    </w:p>
    <w:p w:rsidR="00905147" w:rsidRDefault="00905147" w:rsidP="00905147">
      <w:pPr>
        <w:spacing w:after="0" w:line="256" w:lineRule="auto"/>
        <w:ind w:left="0" w:firstLine="0"/>
      </w:pPr>
    </w:p>
    <w:p w:rsidR="00905147" w:rsidRDefault="002243BC" w:rsidP="00905147">
      <w:pPr>
        <w:spacing w:after="0" w:line="256" w:lineRule="auto"/>
        <w:ind w:left="0" w:firstLine="0"/>
      </w:pPr>
      <w:r w:rsidRPr="0029059F">
        <w:t>It is not feasible to seek to capture the business case benefits for all 30 Growth Deal projects at this point – as business cases have not yet been developed for all projects.</w:t>
      </w:r>
      <w:r w:rsidR="00C436E6">
        <w:t xml:space="preserve">  The template that is now in place allows for the addition of further information as future business cases are approved and projects become live.</w:t>
      </w:r>
    </w:p>
    <w:p w:rsidR="00905147" w:rsidRDefault="00905147" w:rsidP="00905147">
      <w:pPr>
        <w:spacing w:after="0" w:line="256" w:lineRule="auto"/>
        <w:ind w:left="0" w:firstLine="0"/>
      </w:pPr>
    </w:p>
    <w:p w:rsidR="00905147" w:rsidRPr="00905147" w:rsidRDefault="002243BC" w:rsidP="00D837D9">
      <w:pPr>
        <w:pStyle w:val="ListParagraph"/>
        <w:numPr>
          <w:ilvl w:val="0"/>
          <w:numId w:val="7"/>
        </w:numPr>
        <w:spacing w:after="0" w:line="256" w:lineRule="auto"/>
      </w:pPr>
      <w:r w:rsidRPr="00905147">
        <w:rPr>
          <w:b/>
        </w:rPr>
        <w:t>Monitoring Wider Economic Benefits of Projects</w:t>
      </w:r>
    </w:p>
    <w:p w:rsidR="00905147" w:rsidRPr="00905147" w:rsidRDefault="00905147" w:rsidP="00905147">
      <w:pPr>
        <w:spacing w:after="0" w:line="256" w:lineRule="auto"/>
        <w:ind w:left="0" w:firstLine="0"/>
      </w:pPr>
    </w:p>
    <w:p w:rsidR="00905147" w:rsidRDefault="00C436E6" w:rsidP="00905147">
      <w:pPr>
        <w:spacing w:after="0" w:line="256" w:lineRule="auto"/>
        <w:ind w:left="0" w:firstLine="0"/>
      </w:pPr>
      <w:r>
        <w:t>The Monitoring and Evaluation Sub-Group recognised that a</w:t>
      </w:r>
      <w:r w:rsidR="002243BC" w:rsidRPr="0029059F">
        <w:t xml:space="preserve"> number of projects are currently live and have a suite of monitoring requirements against which they have to report (as set out in individual growth fund agreements).</w:t>
      </w:r>
    </w:p>
    <w:p w:rsidR="00905147" w:rsidRDefault="00905147" w:rsidP="00905147">
      <w:pPr>
        <w:spacing w:after="0" w:line="256" w:lineRule="auto"/>
        <w:ind w:left="0" w:firstLine="0"/>
      </w:pPr>
    </w:p>
    <w:p w:rsidR="00905147" w:rsidRDefault="00905147" w:rsidP="002243BC">
      <w:pPr>
        <w:spacing w:after="0" w:line="256" w:lineRule="auto"/>
        <w:ind w:left="0" w:firstLine="0"/>
      </w:pPr>
      <w:r>
        <w:t>T</w:t>
      </w:r>
      <w:r w:rsidR="002243BC" w:rsidRPr="0029059F">
        <w:t>here is an opportunity to amend monitoring requirements for projects that are not yet live, in terms of what reporting is required of them.</w:t>
      </w:r>
      <w:r w:rsidR="002243BC">
        <w:t xml:space="preserve">  However</w:t>
      </w:r>
      <w:r w:rsidR="001D52CB">
        <w:t>,</w:t>
      </w:r>
      <w:r w:rsidR="002243BC">
        <w:t xml:space="preserve"> this is more problematic for those projects that are already active.</w:t>
      </w:r>
    </w:p>
    <w:p w:rsidR="00905147" w:rsidRDefault="00905147" w:rsidP="002243BC">
      <w:pPr>
        <w:spacing w:after="0" w:line="256" w:lineRule="auto"/>
        <w:ind w:left="0" w:firstLine="0"/>
      </w:pPr>
    </w:p>
    <w:p w:rsidR="002243BC" w:rsidRDefault="002243BC" w:rsidP="002243BC">
      <w:pPr>
        <w:spacing w:after="0" w:line="256" w:lineRule="auto"/>
        <w:ind w:left="0" w:firstLine="0"/>
      </w:pPr>
      <w:r>
        <w:t xml:space="preserve">The sub-group </w:t>
      </w:r>
      <w:r w:rsidR="00C436E6">
        <w:t xml:space="preserve">are currently seeking to </w:t>
      </w:r>
      <w:r>
        <w:t>identify and consider alternative avenues/methods that could be used to monitor wider economic benefits of projects.</w:t>
      </w:r>
    </w:p>
    <w:p w:rsidR="002243BC" w:rsidRDefault="002243BC" w:rsidP="002243BC">
      <w:pPr>
        <w:spacing w:after="0" w:line="256" w:lineRule="auto"/>
        <w:ind w:left="0" w:firstLine="0"/>
      </w:pPr>
    </w:p>
    <w:p w:rsidR="00C4119A" w:rsidRDefault="00C4119A" w:rsidP="002243BC">
      <w:pPr>
        <w:spacing w:after="0" w:line="256" w:lineRule="auto"/>
        <w:ind w:left="0" w:firstLine="0"/>
      </w:pPr>
    </w:p>
    <w:p w:rsidR="00C4119A" w:rsidRDefault="00C4119A" w:rsidP="002243BC">
      <w:pPr>
        <w:spacing w:after="0" w:line="256" w:lineRule="auto"/>
        <w:ind w:left="0" w:firstLine="0"/>
      </w:pPr>
    </w:p>
    <w:p w:rsidR="00C4119A" w:rsidRDefault="00C4119A" w:rsidP="002243BC">
      <w:pPr>
        <w:spacing w:after="0" w:line="256" w:lineRule="auto"/>
        <w:ind w:left="0" w:firstLine="0"/>
      </w:pPr>
    </w:p>
    <w:p w:rsidR="00DD098F" w:rsidRPr="00DD098F" w:rsidRDefault="002243BC" w:rsidP="00DD098F">
      <w:pPr>
        <w:pStyle w:val="ListParagraph"/>
        <w:numPr>
          <w:ilvl w:val="0"/>
          <w:numId w:val="7"/>
        </w:numPr>
        <w:spacing w:after="0" w:line="256" w:lineRule="auto"/>
        <w:rPr>
          <w:b/>
        </w:rPr>
      </w:pPr>
      <w:r w:rsidRPr="00DD098F">
        <w:rPr>
          <w:b/>
        </w:rPr>
        <w:lastRenderedPageBreak/>
        <w:t>ITT specification</w:t>
      </w:r>
    </w:p>
    <w:p w:rsidR="00DD098F" w:rsidRDefault="00DD098F" w:rsidP="00DD098F">
      <w:pPr>
        <w:spacing w:after="0" w:line="256" w:lineRule="auto"/>
        <w:ind w:left="0" w:firstLine="0"/>
        <w:rPr>
          <w:b/>
        </w:rPr>
      </w:pPr>
    </w:p>
    <w:p w:rsidR="002243BC" w:rsidRDefault="002243BC" w:rsidP="00DD098F">
      <w:pPr>
        <w:spacing w:after="0" w:line="256" w:lineRule="auto"/>
        <w:ind w:left="0" w:firstLine="0"/>
      </w:pPr>
      <w:r>
        <w:t>The ITT specification that was published, and against which tenders were submitted,</w:t>
      </w:r>
      <w:r w:rsidR="00DD098F">
        <w:t xml:space="preserve"> </w:t>
      </w:r>
      <w:r>
        <w:t xml:space="preserve">included specific references to Social Value against which those who submitted </w:t>
      </w:r>
    </w:p>
    <w:p w:rsidR="002243BC" w:rsidRDefault="002243BC" w:rsidP="002243BC">
      <w:pPr>
        <w:spacing w:after="0" w:line="256" w:lineRule="auto"/>
      </w:pPr>
      <w:proofErr w:type="gramStart"/>
      <w:r>
        <w:t>tenders</w:t>
      </w:r>
      <w:proofErr w:type="gramEnd"/>
      <w:r>
        <w:t xml:space="preserve"> were expected to respond to</w:t>
      </w:r>
      <w:r w:rsidR="00C436E6">
        <w:t xml:space="preserve"> comply</w:t>
      </w:r>
      <w:r>
        <w:t>.</w:t>
      </w:r>
    </w:p>
    <w:p w:rsidR="002243BC" w:rsidRDefault="002243BC" w:rsidP="002243BC">
      <w:pPr>
        <w:spacing w:after="0" w:line="256" w:lineRule="auto"/>
      </w:pPr>
    </w:p>
    <w:p w:rsidR="00DD098F" w:rsidRPr="00DD098F" w:rsidRDefault="002243BC" w:rsidP="00DD098F">
      <w:pPr>
        <w:pStyle w:val="ListParagraph"/>
        <w:numPr>
          <w:ilvl w:val="0"/>
          <w:numId w:val="7"/>
        </w:numPr>
        <w:spacing w:after="0" w:line="256" w:lineRule="auto"/>
        <w:rPr>
          <w:b/>
        </w:rPr>
      </w:pPr>
      <w:r w:rsidRPr="00DD098F">
        <w:rPr>
          <w:b/>
        </w:rPr>
        <w:t xml:space="preserve">Benefits Realisation Plans </w:t>
      </w:r>
    </w:p>
    <w:p w:rsidR="00DD098F" w:rsidRDefault="00DD098F" w:rsidP="00DD098F">
      <w:pPr>
        <w:spacing w:after="0" w:line="256" w:lineRule="auto"/>
        <w:ind w:left="0" w:firstLine="0"/>
        <w:rPr>
          <w:b/>
        </w:rPr>
      </w:pPr>
    </w:p>
    <w:p w:rsidR="002243BC" w:rsidRDefault="00C436E6" w:rsidP="00DD098F">
      <w:pPr>
        <w:spacing w:after="0" w:line="256" w:lineRule="auto"/>
        <w:ind w:left="0" w:firstLine="0"/>
      </w:pPr>
      <w:r>
        <w:t>The Sub-Group recognise that i</w:t>
      </w:r>
      <w:r w:rsidR="002243BC">
        <w:t>t is good practice, within PRINCE 2 methodology, for projects to have benefits realisation plans.</w:t>
      </w:r>
      <w:r w:rsidR="00DD098F">
        <w:t xml:space="preserve"> </w:t>
      </w:r>
      <w:r w:rsidR="002243BC">
        <w:t xml:space="preserve">There is an opportunity to undertake work to confirm if existing, active, growth deal projects do have benefits realisation </w:t>
      </w:r>
      <w:r>
        <w:t>plans – and this work will commence in due course.</w:t>
      </w:r>
    </w:p>
    <w:p w:rsidR="00C436E6" w:rsidRDefault="00C436E6" w:rsidP="002243BC">
      <w:pPr>
        <w:spacing w:after="0" w:line="256" w:lineRule="auto"/>
        <w:ind w:left="0" w:firstLine="0"/>
      </w:pPr>
    </w:p>
    <w:p w:rsidR="00C436E6" w:rsidRPr="00C436E6" w:rsidRDefault="00C436E6" w:rsidP="002243BC">
      <w:pPr>
        <w:spacing w:after="0" w:line="256" w:lineRule="auto"/>
        <w:ind w:left="0" w:firstLine="0"/>
        <w:rPr>
          <w:b/>
        </w:rPr>
      </w:pPr>
      <w:r w:rsidRPr="00C436E6">
        <w:rPr>
          <w:b/>
        </w:rPr>
        <w:t>Social Value Working Group Meeting (27</w:t>
      </w:r>
      <w:r w:rsidR="00DD098F" w:rsidRPr="00DD098F">
        <w:rPr>
          <w:b/>
          <w:vertAlign w:val="superscript"/>
        </w:rPr>
        <w:t>th</w:t>
      </w:r>
      <w:r w:rsidR="00DD098F">
        <w:rPr>
          <w:b/>
        </w:rPr>
        <w:t xml:space="preserve"> </w:t>
      </w:r>
      <w:r w:rsidRPr="00C436E6">
        <w:rPr>
          <w:b/>
        </w:rPr>
        <w:t>November 2015)</w:t>
      </w:r>
    </w:p>
    <w:p w:rsidR="00C436E6" w:rsidRDefault="00C436E6" w:rsidP="002243BC">
      <w:pPr>
        <w:spacing w:after="0" w:line="256" w:lineRule="auto"/>
        <w:ind w:left="0" w:firstLine="0"/>
      </w:pPr>
    </w:p>
    <w:p w:rsidR="00DD098F" w:rsidRDefault="00C436E6" w:rsidP="002243BC">
      <w:pPr>
        <w:spacing w:after="0" w:line="256" w:lineRule="auto"/>
        <w:ind w:left="0" w:firstLine="0"/>
      </w:pPr>
      <w:r>
        <w:t>The Social Value Working Group met for the</w:t>
      </w:r>
      <w:r w:rsidR="001864D7">
        <w:t xml:space="preserve"> first time on 27 November 2015.  A review of toolkits that are being utilised by other organisations was undertaken in order to inform the development of a toolkit.</w:t>
      </w:r>
    </w:p>
    <w:p w:rsidR="00DD098F" w:rsidRDefault="00DD098F" w:rsidP="002243BC">
      <w:pPr>
        <w:spacing w:after="0" w:line="256" w:lineRule="auto"/>
        <w:ind w:left="0" w:firstLine="0"/>
      </w:pPr>
    </w:p>
    <w:p w:rsidR="001864D7" w:rsidRPr="0029059F" w:rsidRDefault="001864D7" w:rsidP="002243BC">
      <w:pPr>
        <w:spacing w:after="0" w:line="256" w:lineRule="auto"/>
        <w:ind w:left="0" w:firstLine="0"/>
      </w:pPr>
      <w:r>
        <w:t xml:space="preserve">At the time of preparing this report, a draft toolkit is under development.  It will be presented for consideration, review and comment by the Board </w:t>
      </w:r>
      <w:r w:rsidR="00DD098F">
        <w:t xml:space="preserve">at the meeting </w:t>
      </w:r>
      <w:r>
        <w:t>on 8</w:t>
      </w:r>
      <w:r w:rsidR="00DD098F" w:rsidRPr="00DD098F">
        <w:rPr>
          <w:vertAlign w:val="superscript"/>
        </w:rPr>
        <w:t>th</w:t>
      </w:r>
      <w:r w:rsidR="00DD098F">
        <w:t xml:space="preserve"> </w:t>
      </w:r>
      <w:r>
        <w:t>December 2015.</w:t>
      </w:r>
    </w:p>
    <w:p w:rsidR="002243BC" w:rsidRDefault="002243BC"/>
    <w:sectPr w:rsidR="002243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6D0"/>
    <w:multiLevelType w:val="hybridMultilevel"/>
    <w:tmpl w:val="7222F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CA4"/>
    <w:multiLevelType w:val="hybridMultilevel"/>
    <w:tmpl w:val="9CDE58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 w15:restartNumberingAfterBreak="0">
    <w:nsid w:val="44B10527"/>
    <w:multiLevelType w:val="hybridMultilevel"/>
    <w:tmpl w:val="963E46C8"/>
    <w:lvl w:ilvl="0" w:tplc="7EF4B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F1ABB"/>
    <w:multiLevelType w:val="hybridMultilevel"/>
    <w:tmpl w:val="58042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94697"/>
    <w:rsid w:val="000D2752"/>
    <w:rsid w:val="00113335"/>
    <w:rsid w:val="00145322"/>
    <w:rsid w:val="001864D7"/>
    <w:rsid w:val="001D52CB"/>
    <w:rsid w:val="001F5AEF"/>
    <w:rsid w:val="002243BC"/>
    <w:rsid w:val="00284E9F"/>
    <w:rsid w:val="00291E0E"/>
    <w:rsid w:val="002B49F2"/>
    <w:rsid w:val="002E69BD"/>
    <w:rsid w:val="0035233C"/>
    <w:rsid w:val="003B18C2"/>
    <w:rsid w:val="004176B4"/>
    <w:rsid w:val="005206EF"/>
    <w:rsid w:val="005D7059"/>
    <w:rsid w:val="006C0636"/>
    <w:rsid w:val="00727978"/>
    <w:rsid w:val="007A7CEE"/>
    <w:rsid w:val="007D5F5A"/>
    <w:rsid w:val="00805BB4"/>
    <w:rsid w:val="00870C84"/>
    <w:rsid w:val="008D7B94"/>
    <w:rsid w:val="00905147"/>
    <w:rsid w:val="0096218F"/>
    <w:rsid w:val="009C167F"/>
    <w:rsid w:val="00A3358A"/>
    <w:rsid w:val="00B13ACE"/>
    <w:rsid w:val="00B25A7B"/>
    <w:rsid w:val="00B439EA"/>
    <w:rsid w:val="00BC4466"/>
    <w:rsid w:val="00BE3AA8"/>
    <w:rsid w:val="00C4119A"/>
    <w:rsid w:val="00C436E6"/>
    <w:rsid w:val="00C52160"/>
    <w:rsid w:val="00CD3B45"/>
    <w:rsid w:val="00CF1133"/>
    <w:rsid w:val="00D7480F"/>
    <w:rsid w:val="00DD098F"/>
    <w:rsid w:val="00E60319"/>
    <w:rsid w:val="00EE54E4"/>
    <w:rsid w:val="00F01FE2"/>
    <w:rsid w:val="00F4109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1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thdea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6132-9F5D-4940-9845-23DD98F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8</cp:revision>
  <dcterms:created xsi:type="dcterms:W3CDTF">2015-11-27T18:47:00Z</dcterms:created>
  <dcterms:modified xsi:type="dcterms:W3CDTF">2015-12-01T15:25:00Z</dcterms:modified>
</cp:coreProperties>
</file>